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39-23 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einigungsdienstleistungen in städtischen Gebäud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einigung in städtischen Gebäuden 
für die Jahre 2027-2030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